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5CAD5" w14:textId="77777777" w:rsidR="00AD0C1A" w:rsidRPr="00B7355B" w:rsidRDefault="00AD0C1A" w:rsidP="00AD0C1A">
      <w:pPr>
        <w:jc w:val="center"/>
      </w:pPr>
      <w:r w:rsidRPr="00B7355B">
        <w:rPr>
          <w:b/>
        </w:rPr>
        <w:t>ASCC A&amp;H1 Panel</w:t>
      </w:r>
    </w:p>
    <w:p w14:paraId="7773147C" w14:textId="4C5E6843" w:rsidR="00AD0C1A" w:rsidRPr="00B7355B" w:rsidRDefault="00937D3E" w:rsidP="00AD0C1A">
      <w:pPr>
        <w:jc w:val="center"/>
      </w:pPr>
      <w:r>
        <w:t>A</w:t>
      </w:r>
      <w:bookmarkStart w:id="0" w:name="_GoBack"/>
      <w:bookmarkEnd w:id="0"/>
      <w:r w:rsidR="00422D42">
        <w:t>pproved</w:t>
      </w:r>
      <w:r w:rsidR="00AD0C1A" w:rsidRPr="00B7355B">
        <w:t xml:space="preserve"> Minutes</w:t>
      </w:r>
    </w:p>
    <w:p w14:paraId="14E5C15A" w14:textId="77777777" w:rsidR="00AD0C1A" w:rsidRPr="00B7355B" w:rsidRDefault="00AD0C1A" w:rsidP="00AD0C1A"/>
    <w:p w14:paraId="4D37472D" w14:textId="172D2AB6" w:rsidR="00AD0C1A" w:rsidRPr="00B7355B" w:rsidRDefault="003D2941" w:rsidP="00AD0C1A">
      <w:r w:rsidRPr="00B7355B">
        <w:t xml:space="preserve">Friday, </w:t>
      </w:r>
      <w:r w:rsidR="00B7355B">
        <w:t>March</w:t>
      </w:r>
      <w:r w:rsidR="00DB11D9" w:rsidRPr="00B7355B">
        <w:t xml:space="preserve"> </w:t>
      </w:r>
      <w:r w:rsidR="00B7355B">
        <w:t>10</w:t>
      </w:r>
      <w:r w:rsidR="00AD0C1A" w:rsidRPr="00B7355B">
        <w:t>, 2017</w:t>
      </w:r>
      <w:r w:rsidR="00AD0C1A" w:rsidRPr="00B7355B">
        <w:tab/>
      </w:r>
      <w:r w:rsidR="00AD0C1A" w:rsidRPr="00B7355B">
        <w:tab/>
      </w:r>
      <w:r w:rsidR="00AD0C1A" w:rsidRPr="00B7355B">
        <w:tab/>
      </w:r>
      <w:r w:rsidR="00AD0C1A" w:rsidRPr="00B7355B">
        <w:tab/>
      </w:r>
      <w:r w:rsidR="00AD0C1A" w:rsidRPr="00B7355B">
        <w:tab/>
      </w:r>
      <w:r w:rsidR="00AD0C1A" w:rsidRPr="00B7355B">
        <w:tab/>
      </w:r>
      <w:r w:rsidR="00AD0C1A" w:rsidRPr="00B7355B">
        <w:tab/>
        <w:t>9:00 -10:30 AM</w:t>
      </w:r>
    </w:p>
    <w:p w14:paraId="5CB26D00" w14:textId="77777777" w:rsidR="00AD0C1A" w:rsidRPr="00B7355B" w:rsidRDefault="00AD0C1A" w:rsidP="00AD0C1A">
      <w:r w:rsidRPr="00B7355B">
        <w:t>110 Denney Hall</w:t>
      </w:r>
    </w:p>
    <w:p w14:paraId="440C892B" w14:textId="77777777" w:rsidR="00AD0C1A" w:rsidRPr="00B7355B" w:rsidRDefault="00AD0C1A" w:rsidP="00AD0C1A"/>
    <w:p w14:paraId="2FF70D3D" w14:textId="2AC0389B" w:rsidR="00AD0C1A" w:rsidRPr="00B7355B" w:rsidRDefault="00E34DE6" w:rsidP="00AD0C1A">
      <w:r w:rsidRPr="00B7355B">
        <w:t>ATTENDEES: Aski, Bitters</w:t>
      </w:r>
      <w:r w:rsidR="00015765" w:rsidRPr="00B7355B">
        <w:t xml:space="preserve">, </w:t>
      </w:r>
      <w:r w:rsidR="00996478">
        <w:t xml:space="preserve">Fink, Jones, Kaylor, </w:t>
      </w:r>
      <w:r w:rsidR="00AD0C1A" w:rsidRPr="00B7355B">
        <w:t xml:space="preserve">Oldroyd, </w:t>
      </w:r>
      <w:r w:rsidR="007265BD">
        <w:t xml:space="preserve">Taleghani-Nikazm, </w:t>
      </w:r>
      <w:r w:rsidR="00AD0C1A" w:rsidRPr="00B7355B">
        <w:t>Vankeerbergen</w:t>
      </w:r>
    </w:p>
    <w:p w14:paraId="33C3B61A" w14:textId="77777777" w:rsidR="00AD0C1A" w:rsidRPr="00B7355B" w:rsidRDefault="00AD0C1A" w:rsidP="00AD0C1A"/>
    <w:p w14:paraId="5756A7A4" w14:textId="72970D14" w:rsidR="00AD7F6E" w:rsidRDefault="00AD0C1A" w:rsidP="00015765">
      <w:r w:rsidRPr="00B7355B">
        <w:t xml:space="preserve">AGENDA: </w:t>
      </w:r>
    </w:p>
    <w:p w14:paraId="27DDAFC7" w14:textId="77777777" w:rsidR="00B7355B" w:rsidRPr="00B7355B" w:rsidRDefault="00B7355B" w:rsidP="00015765"/>
    <w:p w14:paraId="7ECE73ED" w14:textId="7EAD3457" w:rsidR="00B7355B" w:rsidRDefault="00B7355B" w:rsidP="00B7355B">
      <w:pPr>
        <w:numPr>
          <w:ilvl w:val="0"/>
          <w:numId w:val="17"/>
        </w:numPr>
        <w:suppressAutoHyphens w:val="0"/>
        <w:rPr>
          <w:lang w:eastAsia="en-US"/>
        </w:rPr>
      </w:pPr>
      <w:r w:rsidRPr="00B7355B">
        <w:t xml:space="preserve">Approval of 2-24-17 minutes </w:t>
      </w:r>
    </w:p>
    <w:p w14:paraId="55BDDFA5" w14:textId="3A2FB042" w:rsidR="00B7355B" w:rsidRDefault="00F927F9" w:rsidP="00B7355B">
      <w:pPr>
        <w:pStyle w:val="ListParagraph"/>
        <w:numPr>
          <w:ilvl w:val="0"/>
          <w:numId w:val="18"/>
        </w:numPr>
        <w:suppressAutoHyphens w:val="0"/>
        <w:rPr>
          <w:lang w:eastAsia="en-US"/>
        </w:rPr>
      </w:pPr>
      <w:r>
        <w:t>Taleghani-Nikazm</w:t>
      </w:r>
      <w:r w:rsidR="00DF2627">
        <w:rPr>
          <w:lang w:eastAsia="en-US"/>
        </w:rPr>
        <w:t xml:space="preserve">, Jones, </w:t>
      </w:r>
      <w:r w:rsidR="00DF2627" w:rsidRPr="00DF2627">
        <w:rPr>
          <w:b/>
          <w:lang w:eastAsia="en-US"/>
        </w:rPr>
        <w:t>unanimously a</w:t>
      </w:r>
      <w:r w:rsidR="00826DDE" w:rsidRPr="00DF2627">
        <w:rPr>
          <w:b/>
          <w:lang w:eastAsia="en-US"/>
        </w:rPr>
        <w:t xml:space="preserve">pproved </w:t>
      </w:r>
    </w:p>
    <w:p w14:paraId="585CC285" w14:textId="77777777" w:rsidR="00F927F9" w:rsidRPr="00B7355B" w:rsidRDefault="00F927F9" w:rsidP="00F927F9">
      <w:pPr>
        <w:pStyle w:val="ListParagraph"/>
        <w:suppressAutoHyphens w:val="0"/>
        <w:ind w:left="1440"/>
        <w:rPr>
          <w:lang w:eastAsia="en-US"/>
        </w:rPr>
      </w:pPr>
    </w:p>
    <w:p w14:paraId="2699F506" w14:textId="77777777" w:rsidR="00842A6C" w:rsidRPr="00AF356E" w:rsidRDefault="00842A6C" w:rsidP="00842A6C">
      <w:pPr>
        <w:pStyle w:val="ListParagraph"/>
        <w:numPr>
          <w:ilvl w:val="0"/>
          <w:numId w:val="17"/>
        </w:numPr>
        <w:suppressAutoHyphens w:val="0"/>
        <w:contextualSpacing w:val="0"/>
        <w:rPr>
          <w:lang w:eastAsia="en-US"/>
        </w:rPr>
      </w:pPr>
      <w:r w:rsidRPr="00AF356E">
        <w:t>WGSS 2325 (existing course requesting 100% DL delivery)</w:t>
      </w:r>
    </w:p>
    <w:p w14:paraId="7B59BF36" w14:textId="77777777" w:rsidR="00842A6C" w:rsidRDefault="00842A6C" w:rsidP="00842A6C">
      <w:pPr>
        <w:pStyle w:val="ListParagraph"/>
        <w:numPr>
          <w:ilvl w:val="0"/>
          <w:numId w:val="18"/>
        </w:numPr>
        <w:suppressAutoHyphens w:val="0"/>
        <w:contextualSpacing w:val="0"/>
        <w:rPr>
          <w:lang w:eastAsia="en-US"/>
        </w:rPr>
      </w:pPr>
      <w:r>
        <w:rPr>
          <w:lang w:eastAsia="en-US"/>
        </w:rPr>
        <w:t xml:space="preserve">Panel discussed best practices for distance learning courses with Mike Kaylor. Quality Matters (QM) is considered the best practice for distance learning courses. ODEE distance learning checklist is based on QM rubric. </w:t>
      </w:r>
    </w:p>
    <w:p w14:paraId="3D097816" w14:textId="66D6AAB0" w:rsidR="00842A6C" w:rsidRPr="00AF356E" w:rsidRDefault="00842A6C" w:rsidP="00842A6C">
      <w:pPr>
        <w:pStyle w:val="ListParagraph"/>
        <w:numPr>
          <w:ilvl w:val="0"/>
          <w:numId w:val="18"/>
        </w:numPr>
        <w:suppressAutoHyphens w:val="0"/>
        <w:contextualSpacing w:val="0"/>
        <w:rPr>
          <w:lang w:eastAsia="en-US"/>
        </w:rPr>
      </w:pPr>
      <w:r>
        <w:rPr>
          <w:lang w:eastAsia="en-US"/>
        </w:rPr>
        <w:t xml:space="preserve">Course includes good ideas for how to engage students. Question: How will instructor manage students if enrollment is high? </w:t>
      </w:r>
      <w:r w:rsidRPr="00842A6C">
        <w:rPr>
          <w:i/>
          <w:iCs/>
          <w:lang w:eastAsia="en-US"/>
        </w:rPr>
        <w:t xml:space="preserve">This course model is ideal for a course with moderate enrollment. However, this course may attract many students, and the department should be prepared for high enrollment. The department should consider what resources to use to handle high enrollment, such as UCAT, ASC Tech, and ODEE. </w:t>
      </w:r>
    </w:p>
    <w:p w14:paraId="12E19271" w14:textId="2733AD41" w:rsidR="00842A6C" w:rsidRPr="00842A6C" w:rsidRDefault="00842A6C" w:rsidP="00842A6C">
      <w:pPr>
        <w:pStyle w:val="ListParagraph"/>
        <w:numPr>
          <w:ilvl w:val="0"/>
          <w:numId w:val="18"/>
        </w:numPr>
        <w:suppressAutoHyphens w:val="0"/>
        <w:contextualSpacing w:val="0"/>
        <w:rPr>
          <w:bCs/>
          <w:lang w:eastAsia="en-US"/>
        </w:rPr>
      </w:pPr>
      <w:r>
        <w:rPr>
          <w:bCs/>
          <w:lang w:eastAsia="en-US"/>
        </w:rPr>
        <w:t>The r</w:t>
      </w:r>
      <w:r w:rsidRPr="00842A6C">
        <w:rPr>
          <w:bCs/>
          <w:lang w:eastAsia="en-US"/>
        </w:rPr>
        <w:t>umi</w:t>
      </w:r>
      <w:r>
        <w:rPr>
          <w:bCs/>
          <w:lang w:eastAsia="en-US"/>
        </w:rPr>
        <w:t>nations, factsheet posts, and comments on factsheet posts are basically pass/fail (credit awarded for completion) and are worth 35%. Moreover, the midterm and final (worth 35% together) are timed but not monitored, and the guiding questions or prompts will be given ahead of time. Conversation about whether it is a problem that 70% of the course is not very strictly graded.</w:t>
      </w:r>
      <w:r w:rsidR="009C1BE0">
        <w:rPr>
          <w:bCs/>
          <w:lang w:eastAsia="en-US"/>
        </w:rPr>
        <w:t xml:space="preserve"> In the end, Panel agrees that this is not a problem given the structure/content of the course.</w:t>
      </w:r>
    </w:p>
    <w:p w14:paraId="2F50B0CC" w14:textId="77777777" w:rsidR="00842A6C" w:rsidRPr="00842A6C" w:rsidRDefault="00842A6C" w:rsidP="00842A6C">
      <w:pPr>
        <w:pStyle w:val="ListParagraph"/>
        <w:numPr>
          <w:ilvl w:val="0"/>
          <w:numId w:val="18"/>
        </w:numPr>
        <w:suppressAutoHyphens w:val="0"/>
        <w:contextualSpacing w:val="0"/>
        <w:rPr>
          <w:b/>
          <w:bCs/>
          <w:lang w:eastAsia="en-US"/>
        </w:rPr>
      </w:pPr>
      <w:r>
        <w:rPr>
          <w:bCs/>
          <w:lang w:eastAsia="en-US"/>
        </w:rPr>
        <w:t xml:space="preserve">Jones, </w:t>
      </w:r>
      <w:r>
        <w:t>Taleghani-Nikazm</w:t>
      </w:r>
      <w:r>
        <w:rPr>
          <w:bCs/>
          <w:lang w:eastAsia="en-US"/>
        </w:rPr>
        <w:t xml:space="preserve">, </w:t>
      </w:r>
      <w:r w:rsidRPr="00842A6C">
        <w:rPr>
          <w:b/>
          <w:bCs/>
          <w:lang w:eastAsia="en-US"/>
        </w:rPr>
        <w:t xml:space="preserve">unanimously approved </w:t>
      </w:r>
      <w:r w:rsidRPr="00842A6C">
        <w:rPr>
          <w:bCs/>
          <w:i/>
          <w:lang w:eastAsia="en-US"/>
        </w:rPr>
        <w:t xml:space="preserve">with </w:t>
      </w:r>
      <w:r>
        <w:rPr>
          <w:bCs/>
          <w:i/>
          <w:iCs/>
          <w:lang w:eastAsia="en-US"/>
        </w:rPr>
        <w:t xml:space="preserve">one recommendation (in italics above) </w:t>
      </w:r>
    </w:p>
    <w:p w14:paraId="459B3C8E" w14:textId="77777777" w:rsidR="00842A6C" w:rsidRPr="00826DDE" w:rsidRDefault="00842A6C" w:rsidP="00842A6C">
      <w:pPr>
        <w:pStyle w:val="ListParagraph"/>
        <w:suppressAutoHyphens w:val="0"/>
        <w:ind w:left="1440"/>
        <w:contextualSpacing w:val="0"/>
        <w:rPr>
          <w:b/>
          <w:bCs/>
          <w:lang w:eastAsia="en-US"/>
        </w:rPr>
      </w:pPr>
    </w:p>
    <w:p w14:paraId="5142448E" w14:textId="64304E87" w:rsidR="00B7355B" w:rsidRDefault="00B7355B" w:rsidP="00B7355B">
      <w:pPr>
        <w:numPr>
          <w:ilvl w:val="0"/>
          <w:numId w:val="17"/>
        </w:numPr>
        <w:suppressAutoHyphens w:val="0"/>
      </w:pPr>
      <w:r w:rsidRPr="00B7355B">
        <w:t xml:space="preserve">Public Affairs 2500 (course change; requesting GE Historical Study) </w:t>
      </w:r>
    </w:p>
    <w:p w14:paraId="2C4180EA" w14:textId="659E7187" w:rsidR="00B7355B" w:rsidRDefault="00AD6D98" w:rsidP="00B7355B">
      <w:pPr>
        <w:pStyle w:val="ListParagraph"/>
        <w:numPr>
          <w:ilvl w:val="0"/>
          <w:numId w:val="18"/>
        </w:numPr>
        <w:suppressAutoHyphens w:val="0"/>
      </w:pPr>
      <w:r>
        <w:t>P</w:t>
      </w:r>
      <w:r w:rsidR="00DA77EA">
        <w:t>ublic Affairs p</w:t>
      </w:r>
      <w:r>
        <w:t xml:space="preserve">reviously submitted </w:t>
      </w:r>
      <w:r w:rsidR="00DA77EA">
        <w:t xml:space="preserve">this </w:t>
      </w:r>
      <w:r>
        <w:t>course</w:t>
      </w:r>
      <w:r w:rsidR="00DA77EA">
        <w:t xml:space="preserve"> requesting GE Historical Study status,</w:t>
      </w:r>
      <w:r>
        <w:t xml:space="preserve"> and </w:t>
      </w:r>
      <w:r w:rsidR="00D86E04">
        <w:t xml:space="preserve">the </w:t>
      </w:r>
      <w:r>
        <w:t>History Department di</w:t>
      </w:r>
      <w:r w:rsidR="00AA28AB">
        <w:t xml:space="preserve">d not provide concurrence. </w:t>
      </w:r>
    </w:p>
    <w:p w14:paraId="798074FF" w14:textId="33EF8EDB" w:rsidR="00F927F9" w:rsidRPr="00AD6D98" w:rsidRDefault="008144CC" w:rsidP="00235136">
      <w:pPr>
        <w:pStyle w:val="ListParagraph"/>
        <w:numPr>
          <w:ilvl w:val="0"/>
          <w:numId w:val="18"/>
        </w:numPr>
        <w:suppressAutoHyphens w:val="0"/>
      </w:pPr>
      <w:r>
        <w:rPr>
          <w:b/>
        </w:rPr>
        <w:t>P</w:t>
      </w:r>
      <w:r w:rsidR="00F927F9">
        <w:rPr>
          <w:b/>
        </w:rPr>
        <w:t>rovide a GE assessment plan.</w:t>
      </w:r>
      <w:r w:rsidR="000D4655">
        <w:rPr>
          <w:b/>
        </w:rPr>
        <w:t xml:space="preserve"> The a</w:t>
      </w:r>
      <w:r w:rsidR="00F927F9">
        <w:rPr>
          <w:b/>
        </w:rPr>
        <w:t>ssessment plan provided is not specific to GE Expected Learning Ou</w:t>
      </w:r>
      <w:r w:rsidR="00235136">
        <w:rPr>
          <w:b/>
        </w:rPr>
        <w:t>tcomes (ELOs). Assessing students</w:t>
      </w:r>
      <w:r w:rsidR="00F927F9">
        <w:rPr>
          <w:b/>
        </w:rPr>
        <w:t xml:space="preserve"> is not the same as GE assessment.</w:t>
      </w:r>
      <w:r w:rsidR="00235136">
        <w:rPr>
          <w:b/>
        </w:rPr>
        <w:t xml:space="preserve"> See pp. 51-53 in ASC Curriculum and Assessment Operations Manual </w:t>
      </w:r>
      <w:hyperlink r:id="rId5" w:history="1">
        <w:r w:rsidR="00235136" w:rsidRPr="00FD455E">
          <w:rPr>
            <w:rStyle w:val="Hyperlink"/>
            <w:b/>
          </w:rPr>
          <w:t>https://asccas.osu.edu/sites/asccas.osu.edu/files/ASC_CurrAssess_Operations_Manual.pdf</w:t>
        </w:r>
      </w:hyperlink>
      <w:r w:rsidR="00235136">
        <w:rPr>
          <w:b/>
        </w:rPr>
        <w:t xml:space="preserve"> </w:t>
      </w:r>
    </w:p>
    <w:p w14:paraId="16973287" w14:textId="55E31FEC" w:rsidR="00AD6D98" w:rsidRPr="00AD6D98" w:rsidRDefault="009C1BE0" w:rsidP="00B7355B">
      <w:pPr>
        <w:pStyle w:val="ListParagraph"/>
        <w:numPr>
          <w:ilvl w:val="0"/>
          <w:numId w:val="18"/>
        </w:numPr>
        <w:suppressAutoHyphens w:val="0"/>
      </w:pPr>
      <w:r>
        <w:t xml:space="preserve">There is a paper worth 20% for which students are expected to use a primary source. The source is not part of the prescribed readings for the course, however. </w:t>
      </w:r>
      <w:r w:rsidR="00C850CD">
        <w:rPr>
          <w:i/>
        </w:rPr>
        <w:t xml:space="preserve">The panel recommends </w:t>
      </w:r>
      <w:r w:rsidR="00235136">
        <w:rPr>
          <w:i/>
        </w:rPr>
        <w:t>making</w:t>
      </w:r>
      <w:r w:rsidR="00AD6D98">
        <w:rPr>
          <w:i/>
        </w:rPr>
        <w:t xml:space="preserve"> primary sources </w:t>
      </w:r>
      <w:r w:rsidR="00235136">
        <w:rPr>
          <w:i/>
        </w:rPr>
        <w:t xml:space="preserve">stand out more </w:t>
      </w:r>
      <w:r w:rsidR="00AD6D98">
        <w:rPr>
          <w:i/>
        </w:rPr>
        <w:t xml:space="preserve">in </w:t>
      </w:r>
      <w:r w:rsidR="00235136">
        <w:rPr>
          <w:i/>
        </w:rPr>
        <w:t xml:space="preserve">the </w:t>
      </w:r>
      <w:r w:rsidR="00AD6D98">
        <w:rPr>
          <w:i/>
        </w:rPr>
        <w:t>syllabu</w:t>
      </w:r>
      <w:r w:rsidR="00C850CD">
        <w:rPr>
          <w:i/>
        </w:rPr>
        <w:t xml:space="preserve">s </w:t>
      </w:r>
      <w:r w:rsidR="00235136">
        <w:rPr>
          <w:i/>
        </w:rPr>
        <w:t>and making sure that students understand the importance of primary sources.</w:t>
      </w:r>
    </w:p>
    <w:p w14:paraId="05D1DDA0" w14:textId="19211F09" w:rsidR="00AD6D98" w:rsidRPr="008144CC" w:rsidRDefault="00AD6D98" w:rsidP="00F927F9">
      <w:pPr>
        <w:pStyle w:val="ListParagraph"/>
        <w:numPr>
          <w:ilvl w:val="0"/>
          <w:numId w:val="18"/>
        </w:numPr>
        <w:suppressAutoHyphens w:val="0"/>
      </w:pPr>
      <w:r>
        <w:lastRenderedPageBreak/>
        <w:t xml:space="preserve">Jones, </w:t>
      </w:r>
      <w:r w:rsidR="00F927F9">
        <w:t>Taleghani-Nikazm</w:t>
      </w:r>
      <w:r>
        <w:t xml:space="preserve">, </w:t>
      </w:r>
      <w:r w:rsidRPr="00235136">
        <w:rPr>
          <w:b/>
        </w:rPr>
        <w:t>unanimously approved</w:t>
      </w:r>
      <w:r w:rsidR="008144CC" w:rsidRPr="00235136">
        <w:rPr>
          <w:b/>
        </w:rPr>
        <w:t xml:space="preserve"> with</w:t>
      </w:r>
      <w:r w:rsidR="008144CC">
        <w:t xml:space="preserve"> </w:t>
      </w:r>
      <w:r w:rsidR="008144CC">
        <w:rPr>
          <w:b/>
          <w:bCs/>
        </w:rPr>
        <w:t xml:space="preserve">one contingency (in bold above) </w:t>
      </w:r>
      <w:r w:rsidR="008144CC" w:rsidRPr="00392316">
        <w:rPr>
          <w:i/>
        </w:rPr>
        <w:t>and</w:t>
      </w:r>
      <w:r w:rsidR="008144CC">
        <w:t xml:space="preserve"> </w:t>
      </w:r>
      <w:r w:rsidR="008144CC">
        <w:rPr>
          <w:i/>
          <w:iCs/>
        </w:rPr>
        <w:t>one recommendation (in italics above)</w:t>
      </w:r>
    </w:p>
    <w:p w14:paraId="26B05764" w14:textId="77777777" w:rsidR="008144CC" w:rsidRPr="00B7355B" w:rsidRDefault="008144CC" w:rsidP="008144CC">
      <w:pPr>
        <w:pStyle w:val="ListParagraph"/>
        <w:suppressAutoHyphens w:val="0"/>
        <w:ind w:left="1440"/>
      </w:pPr>
    </w:p>
    <w:p w14:paraId="764CE65B" w14:textId="769F951E" w:rsidR="00B7355B" w:rsidRDefault="00B7355B" w:rsidP="00B7355B">
      <w:pPr>
        <w:numPr>
          <w:ilvl w:val="0"/>
          <w:numId w:val="17"/>
        </w:numPr>
        <w:suppressAutoHyphens w:val="0"/>
      </w:pPr>
      <w:r w:rsidRPr="00B7355B">
        <w:t xml:space="preserve">First-year Seminar—Leta Hendricks </w:t>
      </w:r>
    </w:p>
    <w:p w14:paraId="31DD1FFF" w14:textId="0F79E9F6" w:rsidR="008144CC" w:rsidRPr="00392316" w:rsidRDefault="008144CC" w:rsidP="008144CC">
      <w:pPr>
        <w:pStyle w:val="ListParagraph"/>
        <w:numPr>
          <w:ilvl w:val="1"/>
          <w:numId w:val="21"/>
        </w:numPr>
        <w:suppressAutoHyphens w:val="0"/>
        <w:rPr>
          <w:rStyle w:val="Hyperlink"/>
          <w:bCs/>
          <w:i/>
          <w:iCs/>
          <w:color w:val="auto"/>
          <w:u w:val="none"/>
        </w:rPr>
      </w:pPr>
      <w:r>
        <w:rPr>
          <w:bCs/>
          <w:i/>
          <w:iCs/>
        </w:rPr>
        <w:t>Disability statement used does not include the most recent language.</w:t>
      </w:r>
      <w:r w:rsidRPr="008144CC">
        <w:rPr>
          <w:bCs/>
          <w:i/>
          <w:iCs/>
        </w:rPr>
        <w:t xml:space="preserve"> See p. 15 of ASC Curriculum and Assessment Operations Manual </w:t>
      </w:r>
      <w:r>
        <w:rPr>
          <w:bCs/>
          <w:i/>
          <w:iCs/>
        </w:rPr>
        <w:t xml:space="preserve">for the correct disability statement </w:t>
      </w:r>
      <w:hyperlink r:id="rId6" w:history="1">
        <w:r w:rsidRPr="008144CC">
          <w:rPr>
            <w:rStyle w:val="Hyperlink"/>
            <w:bCs/>
            <w:i/>
            <w:iCs/>
          </w:rPr>
          <w:t>https://asccas.osu.edu/sites/asccas.osu.edu/files/ASC_CurrAssess_Operations_Manual.pdf</w:t>
        </w:r>
      </w:hyperlink>
    </w:p>
    <w:p w14:paraId="4EDD7348" w14:textId="7F6E9553" w:rsidR="00392316" w:rsidRPr="00392316" w:rsidRDefault="00392316" w:rsidP="00392316">
      <w:pPr>
        <w:suppressAutoHyphens w:val="0"/>
        <w:ind w:left="1440"/>
        <w:rPr>
          <w:i/>
          <w:lang w:eastAsia="en-US"/>
        </w:rPr>
      </w:pPr>
      <w:r>
        <w:rPr>
          <w:i/>
        </w:rPr>
        <w:t xml:space="preserve">“Students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 098 Baker Hall, 113 W. 12th Avenue; telephone 614-292-3307, </w:t>
      </w:r>
      <w:hyperlink r:id="rId7" w:tgtFrame="_blank" w:history="1">
        <w:r>
          <w:rPr>
            <w:rStyle w:val="Hyperlink"/>
            <w:i/>
          </w:rPr>
          <w:t>slds@osu.edu</w:t>
        </w:r>
      </w:hyperlink>
      <w:r>
        <w:rPr>
          <w:i/>
        </w:rPr>
        <w:t xml:space="preserve">; </w:t>
      </w:r>
      <w:hyperlink r:id="rId8" w:anchor="_blank" w:tgtFrame="_blank" w:history="1">
        <w:r>
          <w:rPr>
            <w:rStyle w:val="Hyperlink"/>
            <w:i/>
          </w:rPr>
          <w:t>slds.osu.edu</w:t>
        </w:r>
      </w:hyperlink>
      <w:r>
        <w:rPr>
          <w:i/>
        </w:rPr>
        <w:t xml:space="preserve">.” </w:t>
      </w:r>
    </w:p>
    <w:p w14:paraId="0D5677EB" w14:textId="3678F6C4" w:rsidR="0089215D" w:rsidRPr="008144CC" w:rsidRDefault="00F927F9" w:rsidP="00B7355B">
      <w:pPr>
        <w:pStyle w:val="ListParagraph"/>
        <w:numPr>
          <w:ilvl w:val="0"/>
          <w:numId w:val="18"/>
        </w:numPr>
        <w:suppressAutoHyphens w:val="0"/>
      </w:pPr>
      <w:r>
        <w:t>Taleghani-Nikazm</w:t>
      </w:r>
      <w:r w:rsidR="0089215D">
        <w:t xml:space="preserve">, Jones, </w:t>
      </w:r>
      <w:r w:rsidR="0089215D" w:rsidRPr="00235136">
        <w:rPr>
          <w:b/>
        </w:rPr>
        <w:t>unanimously approved</w:t>
      </w:r>
      <w:r w:rsidR="008144CC" w:rsidRPr="00235136">
        <w:rPr>
          <w:b/>
        </w:rPr>
        <w:t xml:space="preserve"> </w:t>
      </w:r>
      <w:r w:rsidR="008144CC" w:rsidRPr="00235136">
        <w:rPr>
          <w:i/>
        </w:rPr>
        <w:t xml:space="preserve">with </w:t>
      </w:r>
      <w:r w:rsidR="008144CC">
        <w:rPr>
          <w:i/>
          <w:iCs/>
        </w:rPr>
        <w:t>one recommendation (in italics above)</w:t>
      </w:r>
    </w:p>
    <w:p w14:paraId="599F92EB" w14:textId="77777777" w:rsidR="008144CC" w:rsidRPr="00B7355B" w:rsidRDefault="008144CC" w:rsidP="008144CC">
      <w:pPr>
        <w:pStyle w:val="ListParagraph"/>
        <w:suppressAutoHyphens w:val="0"/>
        <w:ind w:left="1440"/>
      </w:pPr>
    </w:p>
    <w:p w14:paraId="7F2E2B0A" w14:textId="16BE05B6" w:rsidR="00B7355B" w:rsidRDefault="00B7355B" w:rsidP="00B7355B">
      <w:pPr>
        <w:numPr>
          <w:ilvl w:val="0"/>
          <w:numId w:val="17"/>
        </w:numPr>
        <w:suppressAutoHyphens w:val="0"/>
      </w:pPr>
      <w:r w:rsidRPr="00B7355B">
        <w:t>First-year Seminar—Amy Shuman  </w:t>
      </w:r>
    </w:p>
    <w:p w14:paraId="12EDD709" w14:textId="6547616A" w:rsidR="00B7355B" w:rsidRDefault="008144CC" w:rsidP="008144CC">
      <w:pPr>
        <w:pStyle w:val="ListParagraph"/>
        <w:numPr>
          <w:ilvl w:val="0"/>
          <w:numId w:val="18"/>
        </w:numPr>
        <w:suppressAutoHyphens w:val="0"/>
      </w:pPr>
      <w:r>
        <w:rPr>
          <w:i/>
          <w:iCs/>
        </w:rPr>
        <w:t>Page two of the syllabus includes</w:t>
      </w:r>
      <w:r w:rsidR="00392316">
        <w:rPr>
          <w:i/>
          <w:iCs/>
        </w:rPr>
        <w:t xml:space="preserve"> an incomplete sentence: </w:t>
      </w:r>
      <w:r>
        <w:rPr>
          <w:i/>
          <w:iCs/>
        </w:rPr>
        <w:t>“</w:t>
      </w:r>
      <w:r w:rsidR="00CA6D38">
        <w:rPr>
          <w:i/>
          <w:iCs/>
        </w:rPr>
        <w:t>Y</w:t>
      </w:r>
      <w:r>
        <w:rPr>
          <w:i/>
          <w:iCs/>
        </w:rPr>
        <w:t xml:space="preserve">ou are expected </w:t>
      </w:r>
      <w:r w:rsidR="00327021">
        <w:rPr>
          <w:i/>
          <w:iCs/>
        </w:rPr>
        <w:t>to attend each class and to write”</w:t>
      </w:r>
    </w:p>
    <w:p w14:paraId="4E72C35F" w14:textId="576F2D7D" w:rsidR="0089215D" w:rsidRPr="008144CC" w:rsidRDefault="0089215D" w:rsidP="00F927F9">
      <w:pPr>
        <w:pStyle w:val="ListParagraph"/>
        <w:numPr>
          <w:ilvl w:val="0"/>
          <w:numId w:val="18"/>
        </w:numPr>
        <w:suppressAutoHyphens w:val="0"/>
      </w:pPr>
      <w:r>
        <w:t xml:space="preserve">Jones, </w:t>
      </w:r>
      <w:r w:rsidR="00F927F9">
        <w:t>Taleghani-Nikazm</w:t>
      </w:r>
      <w:r>
        <w:t xml:space="preserve">, </w:t>
      </w:r>
      <w:r w:rsidRPr="00392316">
        <w:rPr>
          <w:b/>
        </w:rPr>
        <w:t>unanimously approved</w:t>
      </w:r>
      <w:r w:rsidR="008144CC">
        <w:t xml:space="preserve"> </w:t>
      </w:r>
      <w:r w:rsidR="008144CC" w:rsidRPr="00392316">
        <w:rPr>
          <w:i/>
        </w:rPr>
        <w:t xml:space="preserve">with </w:t>
      </w:r>
      <w:r w:rsidR="008144CC">
        <w:rPr>
          <w:i/>
          <w:iCs/>
        </w:rPr>
        <w:t>one comment (in italics above)</w:t>
      </w:r>
    </w:p>
    <w:p w14:paraId="5F3106D3" w14:textId="77777777" w:rsidR="008144CC" w:rsidRPr="00B7355B" w:rsidRDefault="008144CC" w:rsidP="008144CC">
      <w:pPr>
        <w:pStyle w:val="ListParagraph"/>
        <w:suppressAutoHyphens w:val="0"/>
        <w:ind w:left="1440"/>
      </w:pPr>
    </w:p>
    <w:p w14:paraId="423C78E8" w14:textId="0114E047" w:rsidR="002C3BB0" w:rsidRPr="002C3BB0" w:rsidRDefault="00B7355B" w:rsidP="002C3BB0">
      <w:pPr>
        <w:numPr>
          <w:ilvl w:val="0"/>
          <w:numId w:val="17"/>
        </w:numPr>
        <w:suppressAutoHyphens w:val="0"/>
      </w:pPr>
      <w:r w:rsidRPr="00B7355B">
        <w:t xml:space="preserve">First-year Seminar—Jennifer Suchland </w:t>
      </w:r>
    </w:p>
    <w:p w14:paraId="7B28A49F" w14:textId="029C2ED9" w:rsidR="00DF784F" w:rsidRDefault="00DF784F" w:rsidP="00DF784F">
      <w:pPr>
        <w:numPr>
          <w:ilvl w:val="1"/>
          <w:numId w:val="17"/>
        </w:numPr>
        <w:suppressAutoHyphens w:val="0"/>
        <w:rPr>
          <w:bCs/>
          <w:i/>
          <w:iCs/>
        </w:rPr>
      </w:pPr>
      <w:r>
        <w:rPr>
          <w:b/>
        </w:rPr>
        <w:t>Panel would like a more detailed description of the assignments.</w:t>
      </w:r>
      <w:r w:rsidR="002C3BB0">
        <w:rPr>
          <w:b/>
        </w:rPr>
        <w:t xml:space="preserve"> Page 2 of the syllabus states that more details will be provided in class, and the titles of the assignments are provided in the schedule. The panel would like more details on the requirements for these assignments. </w:t>
      </w:r>
    </w:p>
    <w:p w14:paraId="4925327F" w14:textId="6C066AF9" w:rsidR="00DF784F" w:rsidRPr="00392316" w:rsidRDefault="00DF784F" w:rsidP="00DF784F">
      <w:pPr>
        <w:numPr>
          <w:ilvl w:val="1"/>
          <w:numId w:val="17"/>
        </w:numPr>
        <w:suppressAutoHyphens w:val="0"/>
        <w:rPr>
          <w:rStyle w:val="Hyperlink"/>
          <w:bCs/>
          <w:i/>
          <w:iCs/>
          <w:color w:val="auto"/>
          <w:u w:val="none"/>
        </w:rPr>
      </w:pPr>
      <w:r w:rsidRPr="008144CC">
        <w:rPr>
          <w:bCs/>
          <w:i/>
          <w:iCs/>
        </w:rPr>
        <w:t xml:space="preserve">Disability </w:t>
      </w:r>
      <w:r w:rsidRPr="008144CC">
        <w:rPr>
          <w:bCs/>
          <w:i/>
          <w:iCs/>
          <w:color w:val="222222"/>
        </w:rPr>
        <w:t xml:space="preserve">statement includes former location in Pomerene Hall </w:t>
      </w:r>
      <w:r>
        <w:rPr>
          <w:bCs/>
          <w:i/>
          <w:iCs/>
          <w:color w:val="222222"/>
        </w:rPr>
        <w:t>of</w:t>
      </w:r>
      <w:r w:rsidRPr="008144CC">
        <w:rPr>
          <w:bCs/>
          <w:i/>
          <w:iCs/>
          <w:color w:val="222222"/>
        </w:rPr>
        <w:t xml:space="preserve"> the Office of Disability Services. Please update to include current location i</w:t>
      </w:r>
      <w:r w:rsidRPr="008144CC">
        <w:rPr>
          <w:bCs/>
          <w:i/>
          <w:iCs/>
        </w:rPr>
        <w:t xml:space="preserve">n 098 Baker Hall, 113 W. 12th Avenue. See p. 15 of ASC Curriculum and Assessment Operations Manual </w:t>
      </w:r>
      <w:hyperlink r:id="rId9" w:history="1">
        <w:r w:rsidRPr="008144CC">
          <w:rPr>
            <w:rStyle w:val="Hyperlink"/>
            <w:bCs/>
            <w:i/>
            <w:iCs/>
          </w:rPr>
          <w:t>https://asccas.osu.edu/sites/asccas.osu.edu/files/ASC_CurrAssess_Operations_Manual.pdf</w:t>
        </w:r>
      </w:hyperlink>
    </w:p>
    <w:p w14:paraId="7E7100D6" w14:textId="36DEF17D" w:rsidR="00392316" w:rsidRPr="00392316" w:rsidRDefault="00392316" w:rsidP="00392316">
      <w:pPr>
        <w:pStyle w:val="ListParagraph"/>
        <w:suppressAutoHyphens w:val="0"/>
        <w:ind w:left="1440"/>
        <w:rPr>
          <w:rStyle w:val="Hyperlink"/>
          <w:i/>
          <w:color w:val="auto"/>
          <w:u w:val="none"/>
          <w:lang w:eastAsia="en-US"/>
        </w:rPr>
      </w:pPr>
      <w:r w:rsidRPr="00392316">
        <w:rPr>
          <w:i/>
        </w:rPr>
        <w:t xml:space="preserve">“Students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 098 Baker Hall, 113 W. 12th Avenue; telephone 614-292-3307, </w:t>
      </w:r>
      <w:hyperlink r:id="rId10" w:tgtFrame="_blank" w:history="1">
        <w:r w:rsidRPr="00392316">
          <w:rPr>
            <w:rStyle w:val="Hyperlink"/>
            <w:i/>
          </w:rPr>
          <w:t>slds@osu.edu</w:t>
        </w:r>
      </w:hyperlink>
      <w:r w:rsidRPr="00392316">
        <w:rPr>
          <w:i/>
        </w:rPr>
        <w:t xml:space="preserve">; </w:t>
      </w:r>
      <w:hyperlink r:id="rId11" w:anchor="_blank" w:tgtFrame="_blank" w:history="1">
        <w:r w:rsidRPr="00392316">
          <w:rPr>
            <w:rStyle w:val="Hyperlink"/>
            <w:i/>
          </w:rPr>
          <w:t>slds.osu.edu</w:t>
        </w:r>
      </w:hyperlink>
      <w:r w:rsidRPr="00392316">
        <w:rPr>
          <w:i/>
        </w:rPr>
        <w:t xml:space="preserve">.” </w:t>
      </w:r>
    </w:p>
    <w:p w14:paraId="4D42CBD7" w14:textId="0E575B49" w:rsidR="00DF784F" w:rsidRPr="008144CC" w:rsidRDefault="00DF784F" w:rsidP="00DF784F">
      <w:pPr>
        <w:numPr>
          <w:ilvl w:val="1"/>
          <w:numId w:val="17"/>
        </w:numPr>
        <w:suppressAutoHyphens w:val="0"/>
        <w:rPr>
          <w:bCs/>
          <w:i/>
          <w:iCs/>
        </w:rPr>
      </w:pPr>
      <w:r>
        <w:rPr>
          <w:bCs/>
          <w:i/>
          <w:iCs/>
        </w:rPr>
        <w:t>Correct the syllabus to reflect the recent change from “Freshman Seminar” to “First-Year Seminar.”</w:t>
      </w:r>
    </w:p>
    <w:p w14:paraId="5159813E" w14:textId="4AA46E14" w:rsidR="0089215D" w:rsidRPr="005D357A" w:rsidRDefault="00F927F9" w:rsidP="00B7355B">
      <w:pPr>
        <w:pStyle w:val="ListParagraph"/>
        <w:numPr>
          <w:ilvl w:val="0"/>
          <w:numId w:val="18"/>
        </w:numPr>
        <w:suppressAutoHyphens w:val="0"/>
      </w:pPr>
      <w:r>
        <w:t>Taleghani-Nikazm</w:t>
      </w:r>
      <w:r w:rsidR="0089215D">
        <w:t xml:space="preserve">, Jones, </w:t>
      </w:r>
      <w:r w:rsidR="0089215D" w:rsidRPr="00392316">
        <w:rPr>
          <w:b/>
        </w:rPr>
        <w:t>unanimously approved</w:t>
      </w:r>
      <w:r w:rsidR="00185ABD">
        <w:t xml:space="preserve"> </w:t>
      </w:r>
      <w:r w:rsidR="00185ABD" w:rsidRPr="00392316">
        <w:rPr>
          <w:b/>
        </w:rPr>
        <w:t xml:space="preserve">with </w:t>
      </w:r>
      <w:r w:rsidR="00185ABD">
        <w:rPr>
          <w:b/>
          <w:bCs/>
        </w:rPr>
        <w:t xml:space="preserve">one contingency (in bold above) </w:t>
      </w:r>
      <w:r w:rsidR="00185ABD" w:rsidRPr="00392316">
        <w:rPr>
          <w:i/>
        </w:rPr>
        <w:t xml:space="preserve">and </w:t>
      </w:r>
      <w:r w:rsidR="00185ABD">
        <w:rPr>
          <w:i/>
          <w:iCs/>
        </w:rPr>
        <w:t>two recommendations (in italics above)</w:t>
      </w:r>
    </w:p>
    <w:p w14:paraId="211FCB6F" w14:textId="445FD36E" w:rsidR="005D357A" w:rsidRPr="00B7355B" w:rsidRDefault="005D357A" w:rsidP="005D357A">
      <w:pPr>
        <w:pStyle w:val="ListParagraph"/>
        <w:suppressAutoHyphens w:val="0"/>
        <w:ind w:left="1440"/>
      </w:pPr>
    </w:p>
    <w:p w14:paraId="728446B1" w14:textId="77777777" w:rsidR="005D357A" w:rsidRPr="00B7355B" w:rsidRDefault="005D357A" w:rsidP="005D357A">
      <w:pPr>
        <w:pStyle w:val="ListParagraph"/>
        <w:suppressAutoHyphens w:val="0"/>
        <w:ind w:left="1440"/>
      </w:pPr>
    </w:p>
    <w:p w14:paraId="150E68F4" w14:textId="4413B607" w:rsidR="00B7355B" w:rsidRDefault="00B7355B" w:rsidP="00B7355B">
      <w:pPr>
        <w:numPr>
          <w:ilvl w:val="0"/>
          <w:numId w:val="17"/>
        </w:numPr>
        <w:suppressAutoHyphens w:val="0"/>
      </w:pPr>
      <w:r w:rsidRPr="00B7355B">
        <w:t>First-year Seminar—</w:t>
      </w:r>
      <w:proofErr w:type="spellStart"/>
      <w:r w:rsidRPr="00B7355B">
        <w:t>Aimée</w:t>
      </w:r>
      <w:proofErr w:type="spellEnd"/>
      <w:r w:rsidRPr="00B7355B">
        <w:t xml:space="preserve"> Moore </w:t>
      </w:r>
    </w:p>
    <w:p w14:paraId="0ACDFEE5" w14:textId="02C81B67" w:rsidR="006F3B86" w:rsidRPr="006F3B86" w:rsidRDefault="00C11DC9" w:rsidP="00B7355B">
      <w:pPr>
        <w:pStyle w:val="ListParagraph"/>
        <w:numPr>
          <w:ilvl w:val="0"/>
          <w:numId w:val="18"/>
        </w:numPr>
        <w:suppressAutoHyphens w:val="0"/>
      </w:pPr>
      <w:r>
        <w:rPr>
          <w:b/>
          <w:bCs/>
        </w:rPr>
        <w:t>The p</w:t>
      </w:r>
      <w:r w:rsidR="006F3B86">
        <w:rPr>
          <w:b/>
          <w:bCs/>
        </w:rPr>
        <w:t>anel would like to see further development of course objectives and assignments</w:t>
      </w:r>
      <w:r>
        <w:rPr>
          <w:b/>
          <w:bCs/>
        </w:rPr>
        <w:t xml:space="preserve">. </w:t>
      </w:r>
    </w:p>
    <w:p w14:paraId="3C497437" w14:textId="14055FC0" w:rsidR="006F3B86" w:rsidRDefault="006F3B86" w:rsidP="00B7355B">
      <w:pPr>
        <w:pStyle w:val="ListParagraph"/>
        <w:numPr>
          <w:ilvl w:val="0"/>
          <w:numId w:val="18"/>
        </w:numPr>
        <w:suppressAutoHyphens w:val="0"/>
      </w:pPr>
      <w:r>
        <w:rPr>
          <w:b/>
          <w:bCs/>
        </w:rPr>
        <w:t xml:space="preserve">First-Year Seminars are only 55 minutes, not 2 hours. </w:t>
      </w:r>
      <w:r w:rsidR="00C11DC9">
        <w:rPr>
          <w:b/>
          <w:bCs/>
        </w:rPr>
        <w:t xml:space="preserve">Correct the meeting time on the syllabus and adjust lessons and site visits accordingly. </w:t>
      </w:r>
    </w:p>
    <w:p w14:paraId="0E2B1C91" w14:textId="297B97B7" w:rsidR="0089215D" w:rsidRPr="006F3B86" w:rsidRDefault="00F927F9" w:rsidP="00B7355B">
      <w:pPr>
        <w:pStyle w:val="ListParagraph"/>
        <w:numPr>
          <w:ilvl w:val="0"/>
          <w:numId w:val="18"/>
        </w:numPr>
        <w:suppressAutoHyphens w:val="0"/>
      </w:pPr>
      <w:r>
        <w:t>Taleghani-Nikazm</w:t>
      </w:r>
      <w:r w:rsidR="0089215D">
        <w:t xml:space="preserve">, Jones, </w:t>
      </w:r>
      <w:r w:rsidR="0089215D" w:rsidRPr="00770CD6">
        <w:rPr>
          <w:b/>
        </w:rPr>
        <w:t>unanimously approved</w:t>
      </w:r>
      <w:r w:rsidR="006F3B86" w:rsidRPr="00770CD6">
        <w:rPr>
          <w:b/>
        </w:rPr>
        <w:t xml:space="preserve"> with</w:t>
      </w:r>
      <w:r w:rsidR="006F3B86">
        <w:t xml:space="preserve"> </w:t>
      </w:r>
      <w:r w:rsidR="006F3B86">
        <w:rPr>
          <w:b/>
          <w:bCs/>
        </w:rPr>
        <w:t>two contingencies (in bold above)</w:t>
      </w:r>
    </w:p>
    <w:p w14:paraId="05781051" w14:textId="77777777" w:rsidR="006F3B86" w:rsidRPr="006F3B86" w:rsidRDefault="006F3B86" w:rsidP="006F3B86">
      <w:pPr>
        <w:pStyle w:val="ListParagraph"/>
        <w:suppressAutoHyphens w:val="0"/>
        <w:ind w:left="1440"/>
      </w:pPr>
    </w:p>
    <w:p w14:paraId="23AE2E1C" w14:textId="77777777" w:rsidR="008144CC" w:rsidRDefault="00B7355B" w:rsidP="008144CC">
      <w:pPr>
        <w:numPr>
          <w:ilvl w:val="0"/>
          <w:numId w:val="17"/>
        </w:numPr>
        <w:suppressAutoHyphens w:val="0"/>
      </w:pPr>
      <w:r w:rsidRPr="00B7355B">
        <w:t xml:space="preserve">First-year Seminar—Richard Fletcher </w:t>
      </w:r>
    </w:p>
    <w:p w14:paraId="6BC45C46" w14:textId="3EF0E864" w:rsidR="008144CC" w:rsidRPr="008144CC" w:rsidRDefault="008144CC" w:rsidP="008144CC">
      <w:pPr>
        <w:numPr>
          <w:ilvl w:val="1"/>
          <w:numId w:val="20"/>
        </w:numPr>
        <w:suppressAutoHyphens w:val="0"/>
        <w:rPr>
          <w:bCs/>
          <w:i/>
          <w:iCs/>
        </w:rPr>
      </w:pPr>
      <w:r w:rsidRPr="008144CC">
        <w:rPr>
          <w:bCs/>
          <w:i/>
          <w:iCs/>
        </w:rPr>
        <w:t xml:space="preserve">Disability </w:t>
      </w:r>
      <w:r w:rsidRPr="008144CC">
        <w:rPr>
          <w:bCs/>
          <w:i/>
          <w:iCs/>
          <w:color w:val="222222"/>
        </w:rPr>
        <w:t xml:space="preserve">statement includes former location in Pomerene Hall </w:t>
      </w:r>
      <w:r>
        <w:rPr>
          <w:bCs/>
          <w:i/>
          <w:iCs/>
          <w:color w:val="222222"/>
        </w:rPr>
        <w:t>of</w:t>
      </w:r>
      <w:r w:rsidRPr="008144CC">
        <w:rPr>
          <w:bCs/>
          <w:i/>
          <w:iCs/>
          <w:color w:val="222222"/>
        </w:rPr>
        <w:t xml:space="preserve"> the Office of Disability Services. Please update to include current location i</w:t>
      </w:r>
      <w:r w:rsidRPr="008144CC">
        <w:rPr>
          <w:bCs/>
          <w:i/>
          <w:iCs/>
        </w:rPr>
        <w:t xml:space="preserve">n 098 Baker Hall, 113 W. 12th Avenue. See p. 15 of ASC Curriculum and Assessment Operations Manual </w:t>
      </w:r>
      <w:hyperlink r:id="rId12" w:history="1">
        <w:r w:rsidRPr="008144CC">
          <w:rPr>
            <w:rStyle w:val="Hyperlink"/>
            <w:bCs/>
            <w:i/>
            <w:iCs/>
          </w:rPr>
          <w:t>https://asccas.osu.edu/sites/asccas.osu.edu/files/ASC_CurrAssess_Operations_Manual.pdf</w:t>
        </w:r>
      </w:hyperlink>
    </w:p>
    <w:p w14:paraId="42A6AFCF" w14:textId="68425AB3" w:rsidR="0089215D" w:rsidRPr="00A00942" w:rsidRDefault="00F927F9" w:rsidP="00B7355B">
      <w:pPr>
        <w:pStyle w:val="ListParagraph"/>
        <w:numPr>
          <w:ilvl w:val="0"/>
          <w:numId w:val="18"/>
        </w:numPr>
        <w:suppressAutoHyphens w:val="0"/>
      </w:pPr>
      <w:r>
        <w:t>Taleghani-Nikazm</w:t>
      </w:r>
      <w:r w:rsidR="0089215D">
        <w:t xml:space="preserve">, Jones, </w:t>
      </w:r>
      <w:r w:rsidR="0089215D" w:rsidRPr="00770CD6">
        <w:rPr>
          <w:b/>
        </w:rPr>
        <w:t>unanimously approved</w:t>
      </w:r>
      <w:r w:rsidR="00780F70">
        <w:t xml:space="preserve"> </w:t>
      </w:r>
      <w:r w:rsidR="00780F70" w:rsidRPr="00770CD6">
        <w:rPr>
          <w:i/>
        </w:rPr>
        <w:t xml:space="preserve">with </w:t>
      </w:r>
      <w:r w:rsidR="00780F70">
        <w:rPr>
          <w:i/>
          <w:iCs/>
        </w:rPr>
        <w:t xml:space="preserve">one recommendation (in italics above) </w:t>
      </w:r>
    </w:p>
    <w:p w14:paraId="549E6516" w14:textId="77777777" w:rsidR="00A00942" w:rsidRPr="00B7355B" w:rsidRDefault="00A00942" w:rsidP="00A00942">
      <w:pPr>
        <w:pStyle w:val="ListParagraph"/>
        <w:suppressAutoHyphens w:val="0"/>
        <w:ind w:left="1440"/>
      </w:pPr>
    </w:p>
    <w:p w14:paraId="41E79F59" w14:textId="77777777" w:rsidR="00770CD6" w:rsidRDefault="00770CD6" w:rsidP="00770CD6">
      <w:pPr>
        <w:numPr>
          <w:ilvl w:val="0"/>
          <w:numId w:val="17"/>
        </w:numPr>
        <w:suppressAutoHyphens w:val="0"/>
      </w:pPr>
      <w:r w:rsidRPr="00B7355B">
        <w:t xml:space="preserve">First-year Seminar— Zoe </w:t>
      </w:r>
      <w:proofErr w:type="spellStart"/>
      <w:r w:rsidRPr="00B7355B">
        <w:t>Brigley</w:t>
      </w:r>
      <w:proofErr w:type="spellEnd"/>
      <w:r w:rsidRPr="00B7355B">
        <w:t xml:space="preserve"> Thompson </w:t>
      </w:r>
    </w:p>
    <w:p w14:paraId="6DD8F9EA" w14:textId="4F445B80" w:rsidR="00770CD6" w:rsidRPr="005D357A" w:rsidRDefault="00770CD6" w:rsidP="00770CD6">
      <w:pPr>
        <w:pStyle w:val="ListParagraph"/>
        <w:numPr>
          <w:ilvl w:val="0"/>
          <w:numId w:val="18"/>
        </w:numPr>
        <w:suppressAutoHyphens w:val="0"/>
      </w:pPr>
      <w:r>
        <w:rPr>
          <w:i/>
          <w:iCs/>
        </w:rPr>
        <w:t xml:space="preserve">Syllabus does not provide course number or indicate if course is graded A-E or S/U. A </w:t>
      </w:r>
      <w:r w:rsidR="00477307">
        <w:rPr>
          <w:i/>
          <w:iCs/>
        </w:rPr>
        <w:t>letter-</w:t>
      </w:r>
      <w:r>
        <w:rPr>
          <w:i/>
          <w:iCs/>
        </w:rPr>
        <w:t>graded seminar will be 1137.xx, whereas an S/U seminar will be 1138.xx. Request to clarify.</w:t>
      </w:r>
    </w:p>
    <w:p w14:paraId="37F86505" w14:textId="77777777" w:rsidR="00770CD6" w:rsidRPr="005D357A" w:rsidRDefault="00770CD6" w:rsidP="00770CD6">
      <w:pPr>
        <w:pStyle w:val="ListParagraph"/>
        <w:numPr>
          <w:ilvl w:val="0"/>
          <w:numId w:val="18"/>
        </w:numPr>
        <w:suppressAutoHyphens w:val="0"/>
      </w:pPr>
      <w:r w:rsidRPr="005D357A">
        <w:rPr>
          <w:bCs/>
          <w:i/>
          <w:iCs/>
        </w:rPr>
        <w:t>Correct the syllabus to reflect the recent change from “Freshman Seminar” to “First-Year Seminar.”</w:t>
      </w:r>
    </w:p>
    <w:p w14:paraId="4F483094" w14:textId="77777777" w:rsidR="00770CD6" w:rsidRDefault="00770CD6" w:rsidP="00770CD6">
      <w:pPr>
        <w:pStyle w:val="ListParagraph"/>
        <w:numPr>
          <w:ilvl w:val="0"/>
          <w:numId w:val="18"/>
        </w:numPr>
        <w:suppressAutoHyphens w:val="0"/>
      </w:pPr>
      <w:r>
        <w:rPr>
          <w:i/>
          <w:iCs/>
        </w:rPr>
        <w:t xml:space="preserve">Syllabus does not list course time, which should be 55 minutes. </w:t>
      </w:r>
    </w:p>
    <w:p w14:paraId="1F7C8DB6" w14:textId="77777777" w:rsidR="00770CD6" w:rsidRPr="005D357A" w:rsidRDefault="00770CD6" w:rsidP="00770CD6">
      <w:pPr>
        <w:pStyle w:val="ListParagraph"/>
        <w:numPr>
          <w:ilvl w:val="0"/>
          <w:numId w:val="18"/>
        </w:numPr>
        <w:suppressAutoHyphens w:val="0"/>
      </w:pPr>
      <w:r>
        <w:t xml:space="preserve">Taleghani-Nikazm, Jones, </w:t>
      </w:r>
      <w:r w:rsidRPr="00392316">
        <w:rPr>
          <w:b/>
        </w:rPr>
        <w:t xml:space="preserve">unanimously approved </w:t>
      </w:r>
      <w:r w:rsidRPr="00392316">
        <w:rPr>
          <w:i/>
        </w:rPr>
        <w:t xml:space="preserve">with one question and </w:t>
      </w:r>
      <w:r>
        <w:rPr>
          <w:i/>
          <w:iCs/>
        </w:rPr>
        <w:t xml:space="preserve">2 recommendations (in italics above) </w:t>
      </w:r>
    </w:p>
    <w:p w14:paraId="4FE4060B" w14:textId="77777777" w:rsidR="00842A6C" w:rsidRPr="00826DDE" w:rsidRDefault="00842A6C" w:rsidP="00770CD6">
      <w:pPr>
        <w:pStyle w:val="ListParagraph"/>
        <w:suppressAutoHyphens w:val="0"/>
        <w:ind w:left="1440"/>
        <w:contextualSpacing w:val="0"/>
        <w:rPr>
          <w:b/>
          <w:bCs/>
          <w:lang w:eastAsia="en-US"/>
        </w:rPr>
      </w:pPr>
    </w:p>
    <w:sectPr w:rsidR="00842A6C" w:rsidRPr="00826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07410C"/>
    <w:multiLevelType w:val="hybridMultilevel"/>
    <w:tmpl w:val="DE1EC4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2115BA"/>
    <w:multiLevelType w:val="hybridMultilevel"/>
    <w:tmpl w:val="7136C1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33367"/>
    <w:multiLevelType w:val="hybridMultilevel"/>
    <w:tmpl w:val="4A424F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B1327B"/>
    <w:multiLevelType w:val="hybridMultilevel"/>
    <w:tmpl w:val="3C504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5E65DC"/>
    <w:multiLevelType w:val="hybridMultilevel"/>
    <w:tmpl w:val="EF48285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9B962A9"/>
    <w:multiLevelType w:val="hybridMultilevel"/>
    <w:tmpl w:val="5C4EAF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E109AD"/>
    <w:multiLevelType w:val="hybridMultilevel"/>
    <w:tmpl w:val="DF486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E95AD8"/>
    <w:multiLevelType w:val="hybridMultilevel"/>
    <w:tmpl w:val="661CC47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E628C"/>
    <w:multiLevelType w:val="hybridMultilevel"/>
    <w:tmpl w:val="D08E6A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443978"/>
    <w:multiLevelType w:val="multilevel"/>
    <w:tmpl w:val="01428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563618"/>
    <w:multiLevelType w:val="multilevel"/>
    <w:tmpl w:val="DE2C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0A67E5"/>
    <w:multiLevelType w:val="hybridMultilevel"/>
    <w:tmpl w:val="2610B7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755AD4"/>
    <w:multiLevelType w:val="hybridMultilevel"/>
    <w:tmpl w:val="82EAF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3D6E30"/>
    <w:multiLevelType w:val="hybridMultilevel"/>
    <w:tmpl w:val="6212C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200F8"/>
    <w:multiLevelType w:val="hybridMultilevel"/>
    <w:tmpl w:val="A3B4B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0D202B"/>
    <w:multiLevelType w:val="hybridMultilevel"/>
    <w:tmpl w:val="FB823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2A62C1"/>
    <w:multiLevelType w:val="hybridMultilevel"/>
    <w:tmpl w:val="98FC83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C67FE"/>
    <w:multiLevelType w:val="hybridMultilevel"/>
    <w:tmpl w:val="A21C7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86EFF"/>
    <w:multiLevelType w:val="hybridMultilevel"/>
    <w:tmpl w:val="50125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12750A"/>
    <w:multiLevelType w:val="hybridMultilevel"/>
    <w:tmpl w:val="6268B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D59FD"/>
    <w:multiLevelType w:val="hybridMultilevel"/>
    <w:tmpl w:val="2E284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16"/>
  </w:num>
  <w:num w:numId="6">
    <w:abstractNumId w:val="6"/>
  </w:num>
  <w:num w:numId="7">
    <w:abstractNumId w:val="13"/>
  </w:num>
  <w:num w:numId="8">
    <w:abstractNumId w:val="15"/>
  </w:num>
  <w:num w:numId="9">
    <w:abstractNumId w:val="7"/>
  </w:num>
  <w:num w:numId="10">
    <w:abstractNumId w:val="9"/>
  </w:num>
  <w:num w:numId="11">
    <w:abstractNumId w:val="21"/>
  </w:num>
  <w:num w:numId="12">
    <w:abstractNumId w:val="3"/>
  </w:num>
  <w:num w:numId="13">
    <w:abstractNumId w:val="10"/>
  </w:num>
  <w:num w:numId="14">
    <w:abstractNumId w:val="12"/>
  </w:num>
  <w:num w:numId="15">
    <w:abstractNumId w:val="18"/>
  </w:num>
  <w:num w:numId="16">
    <w:abstractNumId w:val="11"/>
  </w:num>
  <w:num w:numId="17">
    <w:abstractNumId w:val="8"/>
  </w:num>
  <w:num w:numId="18">
    <w:abstractNumId w:val="19"/>
  </w:num>
  <w:num w:numId="19">
    <w:abstractNumId w:val="20"/>
  </w:num>
  <w:num w:numId="20">
    <w:abstractNumId w:val="17"/>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C1A"/>
    <w:rsid w:val="00015765"/>
    <w:rsid w:val="00057EA9"/>
    <w:rsid w:val="000C24F9"/>
    <w:rsid w:val="000D4655"/>
    <w:rsid w:val="000E0036"/>
    <w:rsid w:val="000E5FF7"/>
    <w:rsid w:val="000F1AF5"/>
    <w:rsid w:val="00101055"/>
    <w:rsid w:val="00115848"/>
    <w:rsid w:val="00142E36"/>
    <w:rsid w:val="00185ABD"/>
    <w:rsid w:val="00235136"/>
    <w:rsid w:val="00244663"/>
    <w:rsid w:val="002473FC"/>
    <w:rsid w:val="002664E9"/>
    <w:rsid w:val="002C3BB0"/>
    <w:rsid w:val="002F0948"/>
    <w:rsid w:val="00327021"/>
    <w:rsid w:val="00347D0C"/>
    <w:rsid w:val="00374734"/>
    <w:rsid w:val="00380E7A"/>
    <w:rsid w:val="00384F6A"/>
    <w:rsid w:val="00390D34"/>
    <w:rsid w:val="00392316"/>
    <w:rsid w:val="003A6C2A"/>
    <w:rsid w:val="003B27AC"/>
    <w:rsid w:val="003B4134"/>
    <w:rsid w:val="003D2941"/>
    <w:rsid w:val="003E53C3"/>
    <w:rsid w:val="00422D42"/>
    <w:rsid w:val="00456812"/>
    <w:rsid w:val="00462988"/>
    <w:rsid w:val="00470718"/>
    <w:rsid w:val="00477307"/>
    <w:rsid w:val="004E75F9"/>
    <w:rsid w:val="00551756"/>
    <w:rsid w:val="005A0448"/>
    <w:rsid w:val="005D357A"/>
    <w:rsid w:val="00600115"/>
    <w:rsid w:val="00636B96"/>
    <w:rsid w:val="00655F98"/>
    <w:rsid w:val="00670049"/>
    <w:rsid w:val="006C7A99"/>
    <w:rsid w:val="006E2750"/>
    <w:rsid w:val="006F3B86"/>
    <w:rsid w:val="007265BD"/>
    <w:rsid w:val="0074642F"/>
    <w:rsid w:val="00755EBD"/>
    <w:rsid w:val="00770CD6"/>
    <w:rsid w:val="00776249"/>
    <w:rsid w:val="00780F70"/>
    <w:rsid w:val="00785AD6"/>
    <w:rsid w:val="007A332D"/>
    <w:rsid w:val="007A7ECE"/>
    <w:rsid w:val="007B6998"/>
    <w:rsid w:val="008144CC"/>
    <w:rsid w:val="00826DDE"/>
    <w:rsid w:val="00842A6C"/>
    <w:rsid w:val="0089215D"/>
    <w:rsid w:val="008A2A01"/>
    <w:rsid w:val="00937D3E"/>
    <w:rsid w:val="00943800"/>
    <w:rsid w:val="00956A26"/>
    <w:rsid w:val="00963D6B"/>
    <w:rsid w:val="00972BB6"/>
    <w:rsid w:val="00996478"/>
    <w:rsid w:val="009C1BE0"/>
    <w:rsid w:val="009D382E"/>
    <w:rsid w:val="00A00942"/>
    <w:rsid w:val="00A8329D"/>
    <w:rsid w:val="00AA28AB"/>
    <w:rsid w:val="00AA7D74"/>
    <w:rsid w:val="00AC1511"/>
    <w:rsid w:val="00AC18E0"/>
    <w:rsid w:val="00AC1B5F"/>
    <w:rsid w:val="00AD0C1A"/>
    <w:rsid w:val="00AD5E9A"/>
    <w:rsid w:val="00AD6D98"/>
    <w:rsid w:val="00AD7F6E"/>
    <w:rsid w:val="00AE573D"/>
    <w:rsid w:val="00AF2D20"/>
    <w:rsid w:val="00AF356E"/>
    <w:rsid w:val="00B220DC"/>
    <w:rsid w:val="00B272EF"/>
    <w:rsid w:val="00B326A7"/>
    <w:rsid w:val="00B5510C"/>
    <w:rsid w:val="00B65E63"/>
    <w:rsid w:val="00B7355B"/>
    <w:rsid w:val="00B87DEE"/>
    <w:rsid w:val="00BA75BA"/>
    <w:rsid w:val="00BD41C4"/>
    <w:rsid w:val="00BE0735"/>
    <w:rsid w:val="00BF1D6D"/>
    <w:rsid w:val="00C06736"/>
    <w:rsid w:val="00C11DC9"/>
    <w:rsid w:val="00C850CD"/>
    <w:rsid w:val="00C85F93"/>
    <w:rsid w:val="00CA6D38"/>
    <w:rsid w:val="00CD4D80"/>
    <w:rsid w:val="00CE6271"/>
    <w:rsid w:val="00CF5CA7"/>
    <w:rsid w:val="00D049C1"/>
    <w:rsid w:val="00D32EC8"/>
    <w:rsid w:val="00D56CDA"/>
    <w:rsid w:val="00D85DF5"/>
    <w:rsid w:val="00D860B4"/>
    <w:rsid w:val="00D86E04"/>
    <w:rsid w:val="00D9220F"/>
    <w:rsid w:val="00DA77EA"/>
    <w:rsid w:val="00DB11D9"/>
    <w:rsid w:val="00DB1E5A"/>
    <w:rsid w:val="00DF016A"/>
    <w:rsid w:val="00DF2627"/>
    <w:rsid w:val="00DF784F"/>
    <w:rsid w:val="00E02566"/>
    <w:rsid w:val="00E23861"/>
    <w:rsid w:val="00E3487C"/>
    <w:rsid w:val="00E34DE6"/>
    <w:rsid w:val="00E55F24"/>
    <w:rsid w:val="00E76660"/>
    <w:rsid w:val="00E87A84"/>
    <w:rsid w:val="00E91033"/>
    <w:rsid w:val="00E93C5B"/>
    <w:rsid w:val="00ED73D2"/>
    <w:rsid w:val="00EE56C8"/>
    <w:rsid w:val="00EF7478"/>
    <w:rsid w:val="00F033B4"/>
    <w:rsid w:val="00F40525"/>
    <w:rsid w:val="00F825A2"/>
    <w:rsid w:val="00F83AEA"/>
    <w:rsid w:val="00F927F9"/>
    <w:rsid w:val="00FD5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55E1"/>
  <w15:chartTrackingRefBased/>
  <w15:docId w15:val="{8C7C3F70-CD85-4FE7-B7E3-075743BC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C1A"/>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0C1A"/>
    <w:rPr>
      <w:color w:val="0000FF"/>
      <w:u w:val="single"/>
    </w:rPr>
  </w:style>
  <w:style w:type="paragraph" w:styleId="ListParagraph">
    <w:name w:val="List Paragraph"/>
    <w:basedOn w:val="Normal"/>
    <w:uiPriority w:val="34"/>
    <w:qFormat/>
    <w:rsid w:val="00AD0C1A"/>
    <w:pPr>
      <w:ind w:left="720"/>
      <w:contextualSpacing/>
    </w:pPr>
  </w:style>
  <w:style w:type="character" w:styleId="CommentReference">
    <w:name w:val="annotation reference"/>
    <w:basedOn w:val="DefaultParagraphFont"/>
    <w:uiPriority w:val="99"/>
    <w:semiHidden/>
    <w:unhideWhenUsed/>
    <w:rsid w:val="003E53C3"/>
    <w:rPr>
      <w:sz w:val="16"/>
      <w:szCs w:val="16"/>
    </w:rPr>
  </w:style>
  <w:style w:type="paragraph" w:styleId="CommentText">
    <w:name w:val="annotation text"/>
    <w:basedOn w:val="Normal"/>
    <w:link w:val="CommentTextChar"/>
    <w:uiPriority w:val="99"/>
    <w:unhideWhenUsed/>
    <w:rsid w:val="003E53C3"/>
    <w:rPr>
      <w:sz w:val="20"/>
      <w:szCs w:val="20"/>
    </w:rPr>
  </w:style>
  <w:style w:type="character" w:customStyle="1" w:styleId="CommentTextChar">
    <w:name w:val="Comment Text Char"/>
    <w:basedOn w:val="DefaultParagraphFont"/>
    <w:link w:val="CommentText"/>
    <w:uiPriority w:val="99"/>
    <w:rsid w:val="003E53C3"/>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E53C3"/>
    <w:rPr>
      <w:b/>
      <w:bCs/>
    </w:rPr>
  </w:style>
  <w:style w:type="character" w:customStyle="1" w:styleId="CommentSubjectChar">
    <w:name w:val="Comment Subject Char"/>
    <w:basedOn w:val="CommentTextChar"/>
    <w:link w:val="CommentSubject"/>
    <w:uiPriority w:val="99"/>
    <w:semiHidden/>
    <w:rsid w:val="003E53C3"/>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3E53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C3"/>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875217">
      <w:bodyDiv w:val="1"/>
      <w:marLeft w:val="0"/>
      <w:marRight w:val="0"/>
      <w:marTop w:val="0"/>
      <w:marBottom w:val="0"/>
      <w:divBdr>
        <w:top w:val="none" w:sz="0" w:space="0" w:color="auto"/>
        <w:left w:val="none" w:sz="0" w:space="0" w:color="auto"/>
        <w:bottom w:val="none" w:sz="0" w:space="0" w:color="auto"/>
        <w:right w:val="none" w:sz="0" w:space="0" w:color="auto"/>
      </w:divBdr>
      <w:divsChild>
        <w:div w:id="1464931991">
          <w:marLeft w:val="0"/>
          <w:marRight w:val="0"/>
          <w:marTop w:val="0"/>
          <w:marBottom w:val="0"/>
          <w:divBdr>
            <w:top w:val="none" w:sz="0" w:space="0" w:color="auto"/>
            <w:left w:val="none" w:sz="0" w:space="0" w:color="auto"/>
            <w:bottom w:val="none" w:sz="0" w:space="0" w:color="auto"/>
            <w:right w:val="none" w:sz="0" w:space="0" w:color="auto"/>
          </w:divBdr>
          <w:divsChild>
            <w:div w:id="1598751896">
              <w:marLeft w:val="0"/>
              <w:marRight w:val="0"/>
              <w:marTop w:val="0"/>
              <w:marBottom w:val="0"/>
              <w:divBdr>
                <w:top w:val="none" w:sz="0" w:space="0" w:color="auto"/>
                <w:left w:val="none" w:sz="0" w:space="0" w:color="auto"/>
                <w:bottom w:val="none" w:sz="0" w:space="0" w:color="auto"/>
                <w:right w:val="none" w:sz="0" w:space="0" w:color="auto"/>
              </w:divBdr>
              <w:divsChild>
                <w:div w:id="385952700">
                  <w:marLeft w:val="0"/>
                  <w:marRight w:val="0"/>
                  <w:marTop w:val="0"/>
                  <w:marBottom w:val="0"/>
                  <w:divBdr>
                    <w:top w:val="none" w:sz="0" w:space="0" w:color="auto"/>
                    <w:left w:val="none" w:sz="0" w:space="0" w:color="auto"/>
                    <w:bottom w:val="none" w:sz="0" w:space="0" w:color="auto"/>
                    <w:right w:val="none" w:sz="0" w:space="0" w:color="auto"/>
                  </w:divBdr>
                  <w:divsChild>
                    <w:div w:id="783112136">
                      <w:marLeft w:val="0"/>
                      <w:marRight w:val="0"/>
                      <w:marTop w:val="0"/>
                      <w:marBottom w:val="0"/>
                      <w:divBdr>
                        <w:top w:val="none" w:sz="0" w:space="0" w:color="auto"/>
                        <w:left w:val="none" w:sz="0" w:space="0" w:color="auto"/>
                        <w:bottom w:val="none" w:sz="0" w:space="0" w:color="auto"/>
                        <w:right w:val="none" w:sz="0" w:space="0" w:color="auto"/>
                      </w:divBdr>
                    </w:div>
                    <w:div w:id="629213803">
                      <w:marLeft w:val="0"/>
                      <w:marRight w:val="0"/>
                      <w:marTop w:val="0"/>
                      <w:marBottom w:val="0"/>
                      <w:divBdr>
                        <w:top w:val="none" w:sz="0" w:space="0" w:color="auto"/>
                        <w:left w:val="none" w:sz="0" w:space="0" w:color="auto"/>
                        <w:bottom w:val="none" w:sz="0" w:space="0" w:color="auto"/>
                        <w:right w:val="none" w:sz="0" w:space="0" w:color="auto"/>
                      </w:divBdr>
                    </w:div>
                    <w:div w:id="732653404">
                      <w:marLeft w:val="0"/>
                      <w:marRight w:val="0"/>
                      <w:marTop w:val="0"/>
                      <w:marBottom w:val="0"/>
                      <w:divBdr>
                        <w:top w:val="none" w:sz="0" w:space="0" w:color="auto"/>
                        <w:left w:val="none" w:sz="0" w:space="0" w:color="auto"/>
                        <w:bottom w:val="none" w:sz="0" w:space="0" w:color="auto"/>
                        <w:right w:val="none" w:sz="0" w:space="0" w:color="auto"/>
                      </w:divBdr>
                    </w:div>
                    <w:div w:id="1532183845">
                      <w:marLeft w:val="0"/>
                      <w:marRight w:val="0"/>
                      <w:marTop w:val="0"/>
                      <w:marBottom w:val="0"/>
                      <w:divBdr>
                        <w:top w:val="none" w:sz="0" w:space="0" w:color="auto"/>
                        <w:left w:val="none" w:sz="0" w:space="0" w:color="auto"/>
                        <w:bottom w:val="none" w:sz="0" w:space="0" w:color="auto"/>
                        <w:right w:val="none" w:sz="0" w:space="0" w:color="auto"/>
                      </w:divBdr>
                    </w:div>
                    <w:div w:id="696781975">
                      <w:marLeft w:val="0"/>
                      <w:marRight w:val="0"/>
                      <w:marTop w:val="0"/>
                      <w:marBottom w:val="0"/>
                      <w:divBdr>
                        <w:top w:val="none" w:sz="0" w:space="0" w:color="auto"/>
                        <w:left w:val="none" w:sz="0" w:space="0" w:color="auto"/>
                        <w:bottom w:val="none" w:sz="0" w:space="0" w:color="auto"/>
                        <w:right w:val="none" w:sz="0" w:space="0" w:color="auto"/>
                      </w:divBdr>
                    </w:div>
                    <w:div w:id="243078788">
                      <w:marLeft w:val="0"/>
                      <w:marRight w:val="0"/>
                      <w:marTop w:val="0"/>
                      <w:marBottom w:val="0"/>
                      <w:divBdr>
                        <w:top w:val="none" w:sz="0" w:space="0" w:color="auto"/>
                        <w:left w:val="none" w:sz="0" w:space="0" w:color="auto"/>
                        <w:bottom w:val="none" w:sz="0" w:space="0" w:color="auto"/>
                        <w:right w:val="none" w:sz="0" w:space="0" w:color="auto"/>
                      </w:divBdr>
                    </w:div>
                    <w:div w:id="1125778259">
                      <w:marLeft w:val="0"/>
                      <w:marRight w:val="0"/>
                      <w:marTop w:val="0"/>
                      <w:marBottom w:val="0"/>
                      <w:divBdr>
                        <w:top w:val="none" w:sz="0" w:space="0" w:color="auto"/>
                        <w:left w:val="none" w:sz="0" w:space="0" w:color="auto"/>
                        <w:bottom w:val="none" w:sz="0" w:space="0" w:color="auto"/>
                        <w:right w:val="none" w:sz="0" w:space="0" w:color="auto"/>
                      </w:divBdr>
                    </w:div>
                    <w:div w:id="5803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33009">
      <w:bodyDiv w:val="1"/>
      <w:marLeft w:val="0"/>
      <w:marRight w:val="0"/>
      <w:marTop w:val="0"/>
      <w:marBottom w:val="0"/>
      <w:divBdr>
        <w:top w:val="none" w:sz="0" w:space="0" w:color="auto"/>
        <w:left w:val="none" w:sz="0" w:space="0" w:color="auto"/>
        <w:bottom w:val="none" w:sz="0" w:space="0" w:color="auto"/>
        <w:right w:val="none" w:sz="0" w:space="0" w:color="auto"/>
      </w:divBdr>
    </w:div>
    <w:div w:id="1944334414">
      <w:bodyDiv w:val="1"/>
      <w:marLeft w:val="0"/>
      <w:marRight w:val="0"/>
      <w:marTop w:val="0"/>
      <w:marBottom w:val="0"/>
      <w:divBdr>
        <w:top w:val="none" w:sz="0" w:space="0" w:color="auto"/>
        <w:left w:val="none" w:sz="0" w:space="0" w:color="auto"/>
        <w:bottom w:val="none" w:sz="0" w:space="0" w:color="auto"/>
        <w:right w:val="none" w:sz="0" w:space="0" w:color="auto"/>
      </w:divBdr>
      <w:divsChild>
        <w:div w:id="481434335">
          <w:marLeft w:val="0"/>
          <w:marRight w:val="0"/>
          <w:marTop w:val="0"/>
          <w:marBottom w:val="0"/>
          <w:divBdr>
            <w:top w:val="none" w:sz="0" w:space="0" w:color="auto"/>
            <w:left w:val="none" w:sz="0" w:space="0" w:color="auto"/>
            <w:bottom w:val="none" w:sz="0" w:space="0" w:color="auto"/>
            <w:right w:val="none" w:sz="0" w:space="0" w:color="auto"/>
          </w:divBdr>
          <w:divsChild>
            <w:div w:id="1309944022">
              <w:marLeft w:val="0"/>
              <w:marRight w:val="0"/>
              <w:marTop w:val="0"/>
              <w:marBottom w:val="0"/>
              <w:divBdr>
                <w:top w:val="none" w:sz="0" w:space="0" w:color="auto"/>
                <w:left w:val="none" w:sz="0" w:space="0" w:color="auto"/>
                <w:bottom w:val="none" w:sz="0" w:space="0" w:color="auto"/>
                <w:right w:val="none" w:sz="0" w:space="0" w:color="auto"/>
              </w:divBdr>
              <w:divsChild>
                <w:div w:id="1208909014">
                  <w:marLeft w:val="0"/>
                  <w:marRight w:val="0"/>
                  <w:marTop w:val="0"/>
                  <w:marBottom w:val="0"/>
                  <w:divBdr>
                    <w:top w:val="none" w:sz="0" w:space="0" w:color="auto"/>
                    <w:left w:val="none" w:sz="0" w:space="0" w:color="auto"/>
                    <w:bottom w:val="none" w:sz="0" w:space="0" w:color="auto"/>
                    <w:right w:val="none" w:sz="0" w:space="0" w:color="auto"/>
                  </w:divBdr>
                  <w:divsChild>
                    <w:div w:id="526792578">
                      <w:marLeft w:val="0"/>
                      <w:marRight w:val="0"/>
                      <w:marTop w:val="0"/>
                      <w:marBottom w:val="0"/>
                      <w:divBdr>
                        <w:top w:val="none" w:sz="0" w:space="0" w:color="auto"/>
                        <w:left w:val="none" w:sz="0" w:space="0" w:color="auto"/>
                        <w:bottom w:val="none" w:sz="0" w:space="0" w:color="auto"/>
                        <w:right w:val="none" w:sz="0" w:space="0" w:color="auto"/>
                      </w:divBdr>
                    </w:div>
                    <w:div w:id="109933691">
                      <w:marLeft w:val="0"/>
                      <w:marRight w:val="0"/>
                      <w:marTop w:val="0"/>
                      <w:marBottom w:val="0"/>
                      <w:divBdr>
                        <w:top w:val="none" w:sz="0" w:space="0" w:color="auto"/>
                        <w:left w:val="none" w:sz="0" w:space="0" w:color="auto"/>
                        <w:bottom w:val="none" w:sz="0" w:space="0" w:color="auto"/>
                        <w:right w:val="none" w:sz="0" w:space="0" w:color="auto"/>
                      </w:divBdr>
                    </w:div>
                    <w:div w:id="1080522115">
                      <w:marLeft w:val="0"/>
                      <w:marRight w:val="0"/>
                      <w:marTop w:val="0"/>
                      <w:marBottom w:val="0"/>
                      <w:divBdr>
                        <w:top w:val="none" w:sz="0" w:space="0" w:color="auto"/>
                        <w:left w:val="none" w:sz="0" w:space="0" w:color="auto"/>
                        <w:bottom w:val="none" w:sz="0" w:space="0" w:color="auto"/>
                        <w:right w:val="none" w:sz="0" w:space="0" w:color="auto"/>
                      </w:divBdr>
                    </w:div>
                    <w:div w:id="1449230168">
                      <w:marLeft w:val="0"/>
                      <w:marRight w:val="0"/>
                      <w:marTop w:val="0"/>
                      <w:marBottom w:val="0"/>
                      <w:divBdr>
                        <w:top w:val="none" w:sz="0" w:space="0" w:color="auto"/>
                        <w:left w:val="none" w:sz="0" w:space="0" w:color="auto"/>
                        <w:bottom w:val="none" w:sz="0" w:space="0" w:color="auto"/>
                        <w:right w:val="none" w:sz="0" w:space="0" w:color="auto"/>
                      </w:divBdr>
                    </w:div>
                    <w:div w:id="1976333204">
                      <w:marLeft w:val="0"/>
                      <w:marRight w:val="0"/>
                      <w:marTop w:val="0"/>
                      <w:marBottom w:val="0"/>
                      <w:divBdr>
                        <w:top w:val="none" w:sz="0" w:space="0" w:color="auto"/>
                        <w:left w:val="none" w:sz="0" w:space="0" w:color="auto"/>
                        <w:bottom w:val="none" w:sz="0" w:space="0" w:color="auto"/>
                        <w:right w:val="none" w:sz="0" w:space="0" w:color="auto"/>
                      </w:divBdr>
                    </w:div>
                    <w:div w:id="3674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ds.o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ds@osu.edu" TargetMode="External"/><Relationship Id="rId12" Type="http://schemas.openxmlformats.org/officeDocument/2006/relationships/hyperlink" Target="https://asccas.osu.edu/sites/asccas.osu.edu/files/ASC_CurrAssess_Operations_Manu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cas.osu.edu/sites/asccas.osu.edu/files/ASC_CurrAssess_Operations_Manual.pdf" TargetMode="External"/><Relationship Id="rId11" Type="http://schemas.openxmlformats.org/officeDocument/2006/relationships/hyperlink" Target="http://slds.osu.edu/" TargetMode="External"/><Relationship Id="rId5" Type="http://schemas.openxmlformats.org/officeDocument/2006/relationships/hyperlink" Target="https://asccas.osu.edu/sites/asccas.osu.edu/files/ASC_CurrAssess_Operations_Manual.pdf" TargetMode="External"/><Relationship Id="rId10" Type="http://schemas.openxmlformats.org/officeDocument/2006/relationships/hyperlink" Target="mailto:slds@osu.edu" TargetMode="External"/><Relationship Id="rId4" Type="http://schemas.openxmlformats.org/officeDocument/2006/relationships/webSettings" Target="webSettings.xml"/><Relationship Id="rId9" Type="http://schemas.openxmlformats.org/officeDocument/2006/relationships/hyperlink" Target="https://asccas.osu.edu/sites/asccas.osu.edu/files/ASC_CurrAssess_Operations_Manu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Oldroyd, Shelby Q.</dc:creator>
  <cp:keywords/>
  <dc:description/>
  <cp:lastModifiedBy>Vankeerbergen, Bernadette</cp:lastModifiedBy>
  <cp:revision>2</cp:revision>
  <cp:lastPrinted>2017-03-01T13:58:00Z</cp:lastPrinted>
  <dcterms:created xsi:type="dcterms:W3CDTF">2017-04-05T16:43:00Z</dcterms:created>
  <dcterms:modified xsi:type="dcterms:W3CDTF">2017-04-05T16:43:00Z</dcterms:modified>
</cp:coreProperties>
</file>